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D5EA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CB757B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CB757B"/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757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0D5EAD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000000" w:rsidRDefault="00CB757B"/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757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CB757B"/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847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2383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757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2024-03-06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0D5EAD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0D5EAD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0D5EAD">
                    <w:rPr>
                      <w:color w:val="000000"/>
                      <w:sz w:val="24"/>
                    </w:rPr>
                    <w:t>. K19-D-2</w:t>
                  </w:r>
                </w:p>
              </w:tc>
            </w:tr>
          </w:tbl>
          <w:p w:rsidR="00000000" w:rsidRDefault="00CB757B"/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847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2383" w:type="dxa"/>
          </w:tcPr>
          <w:p w:rsidR="00000000" w:rsidRDefault="00CB757B">
            <w:pPr>
              <w:pStyle w:val="EmptyLayoutCell"/>
            </w:pPr>
          </w:p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D5EAD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CB757B"/>
        </w:tc>
        <w:tc>
          <w:tcPr>
            <w:tcW w:w="1133" w:type="dxa"/>
          </w:tcPr>
          <w:p w:rsidR="00000000" w:rsidRDefault="00CB757B">
            <w:pPr>
              <w:pStyle w:val="EmptyLayoutCell"/>
            </w:pPr>
          </w:p>
        </w:tc>
      </w:tr>
      <w:tr w:rsidR="000D5EAD" w:rsidRP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0D5EAD" w:rsidRDefault="000D5EAD" w:rsidP="000D5EAD">
            <w:pPr>
              <w:jc w:val="both"/>
            </w:pPr>
          </w:p>
          <w:p w:rsidR="000D5EAD" w:rsidRDefault="000D5EAD" w:rsidP="000152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0D5EAD" w:rsidRPr="000D5EAD" w:rsidRDefault="000D5EAD" w:rsidP="0001528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2023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gruodžio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19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T-542 ,,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2024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darbo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plano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(TR-137)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Audronė Petkienė (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veiklos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administravimo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vedėja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</w:t>
                  </w:r>
                  <w:r w:rsidR="00015280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14:00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2.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Kontrolės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audito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arnybos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tapimo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kontrolierių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asociacijos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nare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(TR-77)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Kristina Kripienė (Kauno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kontrolės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audito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tarnyba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kontrolierė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 w:rsidR="00015280">
                    <w:rPr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14:05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3.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Lietuvos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moksleivių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sąjungos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dalinio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organizuojamo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renginio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Pavasario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forumas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dalyvių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važiavimo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vietinio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reguliaraus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susisiekimo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autobusais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troleibusais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lengvatos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dydžio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nustatymo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(TR-89)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Pranešėjas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Eugenijus Juodis (Transporto ir eismo organizavimo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vyriausiasis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specialistas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0D5EAD"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D5EAD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</w:t>
                  </w:r>
                  <w:r w:rsidR="00015280">
                    <w:rPr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>14:10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4.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2024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vasario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13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T-2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2024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biudžeto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(TR-126)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Roma Vosylienė (Fin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ansų ir ekonomikos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vedėja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0D5EAD"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D5EAD"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="00015280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="000D5EAD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>14:15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5.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2022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rugpjūčio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26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turto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panaudos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sutarties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. SRK-1640 su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viešąja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įstaiga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„Kaunas IN“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trumpalaikio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materialiojo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turto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perėmimo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prieš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terminą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TR-119)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6.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savivaldybei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nuosavybės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teise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priklausančių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automobilių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perdavimo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panaudos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pagrindais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neatlygintinai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valdyti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naudoti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Valstybės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vaiko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teisių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apsaugos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įvaikinimo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tarnybai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Socialinės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apsaugos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darbo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ministerijos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(TR-90)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Pranešėjas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Artūras Andriuška (Bendrųjų reikalų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vedėjas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="00163971">
                    <w:rPr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D5EAD"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>14:20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7.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kultūros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premijų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skyrimo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(TR-100)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8.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kultūros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centro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2024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veiklos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plano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R-92)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Agnė Augonė (Kultūros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vedėja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</w:t>
                  </w:r>
                  <w:r w:rsidR="008644DF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14:25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9.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2020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vasario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25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T-48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VšĮ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„Kaunas IN“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teikiamų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paslaugų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įkainių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nustatymo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(TR-127)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10.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pritarimo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įgyvendinti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projektą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Perėjimas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institucinės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globos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bendruomeninių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paslaugų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sostinės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regione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vidurio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vakarų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Lietuvos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regione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(TR-128)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Aistė Lukaševičiūtė (Investicijų ir projektų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ve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dėja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8644DF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14:30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11.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panaudos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sutarties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su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Prezidento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Valdo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Adamkaus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gimnazija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nekilnojamojo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turto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Bitininkų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g. 31,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Kaune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nuomos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VšĮ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Perkūno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krepšinio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mokyklai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VšĮ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Vaikų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jaunimo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klubui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Aleksotas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(TR-125)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12.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nekilnojamojo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turto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Vaidoto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g. 115,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Kaune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nuomos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sutarties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su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apskrities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moterų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krizių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centru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atnaujinimo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(TR-103)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       13.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nekilnojamojo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turto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Vaidoto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g. 115,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Kaune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nuomos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sutarties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su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priklausomybės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ligų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specialistų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asociacija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tnaujinimo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(TR-101)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Pranešėjas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Donatas Valiukas (Nekilnojamojo turto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 w:rsidR="000D5EAD"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vedėjas</w:t>
                  </w:r>
                  <w:proofErr w:type="spellEnd"/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0D5EAD"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D5EAD"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="000D5EAD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>14:35</w:t>
                  </w:r>
                  <w:r w:rsidR="000D5EAD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14.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2023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gruodžio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19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T-568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didžiausio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leistino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pareigybių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etatų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skaičiaus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biudžetinėse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neformaliojo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švietimo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įstaigose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pripažinimo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netekusiu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galios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(TR-120)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15.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2023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gruodžio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19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T-567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didžiausio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leistino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pareigybių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etatų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skaičiaus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biudžetinėse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bendrojo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ugdymo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mokyklose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nustatymo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pritarimo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didžiausiam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leistinam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pareigybių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etatų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skaičiui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viešosiose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bendrojo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ugdymo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mokyklose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kurių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dalininkė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yra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pripažinim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netekusiu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galios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(TR-111)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16.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2023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liepos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18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T-362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didžiausio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leistino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pareigybių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etatų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skaičiaus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biudžetinėse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ikimokyklinėse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įstaigose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nustatymo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ipažinimo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netekusiu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galios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(TR-109)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Ona Gucevičienė (Švietimo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vedėja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="00CB757B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14:40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17.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visuomenės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sveikatos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rėmimo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specialiosios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programos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2024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priemonių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finansavimo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plano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(TR-113)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18.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2021 m.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vasario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23 d.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>. T-70 „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administracijos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sveikatos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apsaugos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skyriui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priskirtos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biudžetinės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įstaigos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visuomenės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sv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eikatos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biuro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veiklos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vertinimo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kriterijų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rinkinio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(TR-114)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19.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2022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visuomenės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sveikatos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stebėsenos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ataskaitos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(TR-87)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CB757B" w:rsidP="000D5EAD">
                  <w:pPr>
                    <w:jc w:val="both"/>
                    <w:rPr>
                      <w:sz w:val="24"/>
                      <w:szCs w:val="24"/>
                    </w:rPr>
                  </w:pP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           20.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vi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>suomenės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sveikatos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rėmimo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specialiosios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programos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priemonių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vykdymo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2023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ataskaitos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EAD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(TR-112) </w:t>
                  </w:r>
                </w:p>
              </w:tc>
            </w:tr>
            <w:tr w:rsidR="00000000" w:rsidRPr="000D5EAD" w:rsidT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0D5EAD" w:rsidP="00B3615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-  </w:t>
                  </w:r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>Daiva Kuzminienė</w:t>
                  </w:r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(Sveikatos apsaugos </w:t>
                  </w:r>
                  <w:proofErr w:type="spellStart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>vyriausioji</w:t>
                  </w:r>
                  <w:proofErr w:type="spellEnd"/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="00CB757B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bookmarkStart w:id="0" w:name="_GoBack"/>
                  <w:bookmarkEnd w:id="0"/>
                  <w:proofErr w:type="spellStart"/>
                  <w:r w:rsidR="00B36151">
                    <w:rPr>
                      <w:b/>
                      <w:color w:val="000000"/>
                      <w:sz w:val="24"/>
                      <w:szCs w:val="24"/>
                    </w:rPr>
                    <w:t>specialistė</w:t>
                  </w:r>
                  <w:proofErr w:type="spellEnd"/>
                  <w:r w:rsidR="00CB757B" w:rsidRPr="000D5EAD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B36151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>14:50</w:t>
                  </w:r>
                  <w:r w:rsidRPr="000D5EAD">
                    <w:rPr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</w:tbl>
          <w:p w:rsidR="00000000" w:rsidRPr="000D5EAD" w:rsidRDefault="00CB757B" w:rsidP="000D5EAD">
            <w:pPr>
              <w:jc w:val="both"/>
              <w:rPr>
                <w:sz w:val="24"/>
                <w:szCs w:val="24"/>
              </w:rPr>
            </w:pPr>
          </w:p>
        </w:tc>
      </w:tr>
      <w:tr w:rsidR="00000000" w:rsidRP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Pr="000D5EAD" w:rsidRDefault="00CB757B" w:rsidP="000D5EAD">
            <w:pPr>
              <w:pStyle w:val="EmptyLayoutCell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00000" w:rsidRPr="000D5EAD" w:rsidRDefault="00CB757B" w:rsidP="000D5EAD">
            <w:pPr>
              <w:pStyle w:val="EmptyLayoutCell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000000" w:rsidRPr="000D5EAD" w:rsidRDefault="00CB757B" w:rsidP="000D5EAD">
            <w:pPr>
              <w:pStyle w:val="EmptyLayout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00000" w:rsidRPr="000D5EAD" w:rsidRDefault="00CB757B" w:rsidP="000D5EAD">
            <w:pPr>
              <w:pStyle w:val="EmptyLayoutCell"/>
              <w:jc w:val="both"/>
              <w:rPr>
                <w:sz w:val="24"/>
                <w:szCs w:val="24"/>
              </w:rPr>
            </w:pPr>
          </w:p>
        </w:tc>
      </w:tr>
      <w:tr w:rsidR="000D5EAD" w:rsidRPr="000D5EAD" w:rsidTr="000D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 w:rsidRP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B36151" w:rsidP="000D5EAD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K</w:t>
                  </w:r>
                  <w:r w:rsidR="00CB757B" w:rsidRPr="000D5EAD">
                    <w:rPr>
                      <w:color w:val="000000"/>
                      <w:sz w:val="24"/>
                      <w:szCs w:val="24"/>
                    </w:rPr>
                    <w:t>omiteto</w:t>
                  </w:r>
                  <w:proofErr w:type="spellEnd"/>
                  <w:r w:rsidR="00CB757B" w:rsidRPr="000D5E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757B" w:rsidRPr="000D5EAD">
                    <w:rPr>
                      <w:color w:val="000000"/>
                      <w:sz w:val="24"/>
                      <w:szCs w:val="24"/>
                    </w:rPr>
                    <w:t>pirmininkas</w:t>
                  </w:r>
                  <w:proofErr w:type="spellEnd"/>
                </w:p>
              </w:tc>
            </w:tr>
          </w:tbl>
          <w:p w:rsidR="00000000" w:rsidRPr="000D5EAD" w:rsidRDefault="00CB757B" w:rsidP="000D5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00000" w:rsidRPr="000D5EAD" w:rsidRDefault="00CB757B" w:rsidP="000D5EAD">
            <w:pPr>
              <w:pStyle w:val="EmptyLayoutCell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 w:rsidRPr="000D5E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0D5EAD" w:rsidRDefault="00B36151" w:rsidP="000D5EA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="00CB757B" w:rsidRPr="000D5EAD">
                    <w:rPr>
                      <w:color w:val="000000"/>
                      <w:sz w:val="24"/>
                      <w:szCs w:val="24"/>
                    </w:rPr>
                    <w:t>Riman</w:t>
                  </w:r>
                  <w:r w:rsidR="00CB757B" w:rsidRPr="000D5EAD">
                    <w:rPr>
                      <w:color w:val="000000"/>
                      <w:sz w:val="24"/>
                      <w:szCs w:val="24"/>
                    </w:rPr>
                    <w:t>tas Lekavičius</w:t>
                  </w:r>
                </w:p>
              </w:tc>
            </w:tr>
          </w:tbl>
          <w:p w:rsidR="00000000" w:rsidRPr="000D5EAD" w:rsidRDefault="00CB757B" w:rsidP="000D5EAD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Pr="000D5EAD" w:rsidRDefault="00CB757B" w:rsidP="000D5EAD">
      <w:pPr>
        <w:jc w:val="both"/>
        <w:rPr>
          <w:sz w:val="24"/>
          <w:szCs w:val="24"/>
        </w:rPr>
      </w:pPr>
    </w:p>
    <w:sectPr w:rsidR="00000000" w:rsidRPr="000D5EAD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757B">
      <w:r>
        <w:separator/>
      </w:r>
    </w:p>
  </w:endnote>
  <w:endnote w:type="continuationSeparator" w:id="0">
    <w:p w:rsidR="00000000" w:rsidRDefault="00CB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757B">
      <w:r>
        <w:separator/>
      </w:r>
    </w:p>
  </w:footnote>
  <w:footnote w:type="continuationSeparator" w:id="0">
    <w:p w:rsidR="00000000" w:rsidRDefault="00CB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CB757B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CB757B"/>
      </w:tc>
      <w:tc>
        <w:tcPr>
          <w:tcW w:w="1133" w:type="dxa"/>
        </w:tcPr>
        <w:p w:rsidR="00000000" w:rsidRDefault="00CB757B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D"/>
    <w:rsid w:val="00015280"/>
    <w:rsid w:val="000D5EAD"/>
    <w:rsid w:val="00163971"/>
    <w:rsid w:val="00590D55"/>
    <w:rsid w:val="007542BC"/>
    <w:rsid w:val="008644DF"/>
    <w:rsid w:val="00B36151"/>
    <w:rsid w:val="00C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EA8FE"/>
  <w15:chartTrackingRefBased/>
  <w15:docId w15:val="{443D8E58-0E9C-4C10-A4F3-7BBA58E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5301</Characters>
  <Application>Microsoft Office Word</Application>
  <DocSecurity>0</DocSecurity>
  <Lines>44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6</cp:revision>
  <dcterms:created xsi:type="dcterms:W3CDTF">2024-03-04T09:18:00Z</dcterms:created>
  <dcterms:modified xsi:type="dcterms:W3CDTF">2024-03-04T09:19:00Z</dcterms:modified>
</cp:coreProperties>
</file>